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33987" w14:textId="275FCE75" w:rsidR="00A83FDD" w:rsidRPr="00A83FDD" w:rsidRDefault="00A83FDD" w:rsidP="00A83FDD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B. SOUHRNNÁ TECHNICKÁ ZPRÁVA</w:t>
      </w:r>
    </w:p>
    <w:p w14:paraId="0DB2A5C5" w14:textId="77777777" w:rsidR="00A83FDD" w:rsidRPr="00A83FDD" w:rsidRDefault="00A83FDD" w:rsidP="00A83FDD">
      <w:pPr>
        <w:jc w:val="center"/>
        <w:rPr>
          <w:sz w:val="24"/>
          <w:szCs w:val="24"/>
        </w:rPr>
      </w:pPr>
      <w:r w:rsidRPr="00A83FDD">
        <w:rPr>
          <w:sz w:val="24"/>
          <w:szCs w:val="24"/>
        </w:rPr>
        <w:t>k dokumentaci skutečného zaměření budov</w:t>
      </w:r>
    </w:p>
    <w:p w14:paraId="198E331C" w14:textId="77777777" w:rsid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7A5D81CA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7F4B8A04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0FFABB49" w14:textId="77777777" w:rsidR="00A83FDD" w:rsidRPr="00A83FDD" w:rsidRDefault="00A83FDD" w:rsidP="00A83FDD">
      <w:pPr>
        <w:jc w:val="center"/>
        <w:rPr>
          <w:sz w:val="24"/>
          <w:szCs w:val="24"/>
        </w:rPr>
      </w:pPr>
      <w:r w:rsidRPr="00A83FDD">
        <w:rPr>
          <w:sz w:val="24"/>
          <w:szCs w:val="24"/>
        </w:rPr>
        <w:t>Název stavby:</w:t>
      </w:r>
    </w:p>
    <w:p w14:paraId="20EF8E80" w14:textId="1198930C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  <w:r w:rsidRPr="00A83FDD">
        <w:rPr>
          <w:b/>
          <w:bCs/>
          <w:sz w:val="24"/>
          <w:szCs w:val="24"/>
        </w:rPr>
        <w:t>Dokumentace stávajícího stavu budovy Nové Slunce, H</w:t>
      </w:r>
      <w:r w:rsidR="00C265AF">
        <w:rPr>
          <w:b/>
          <w:bCs/>
          <w:sz w:val="24"/>
          <w:szCs w:val="24"/>
        </w:rPr>
        <w:t>u</w:t>
      </w:r>
      <w:r w:rsidRPr="00A83FDD">
        <w:rPr>
          <w:b/>
          <w:bCs/>
          <w:sz w:val="24"/>
          <w:szCs w:val="24"/>
        </w:rPr>
        <w:t>sova 3, Nový Jičín</w:t>
      </w:r>
    </w:p>
    <w:p w14:paraId="213A9A12" w14:textId="77777777" w:rsid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3EA71E59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603568A6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7BFC8669" w14:textId="77777777" w:rsidR="00A83FDD" w:rsidRPr="00A83FDD" w:rsidRDefault="00A83FDD" w:rsidP="00A83FDD">
      <w:pPr>
        <w:jc w:val="center"/>
        <w:rPr>
          <w:sz w:val="24"/>
          <w:szCs w:val="24"/>
        </w:rPr>
      </w:pPr>
      <w:r w:rsidRPr="00A83FDD">
        <w:rPr>
          <w:sz w:val="24"/>
          <w:szCs w:val="24"/>
        </w:rPr>
        <w:t>Investor:</w:t>
      </w:r>
    </w:p>
    <w:p w14:paraId="21BD6FBE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  <w:r w:rsidRPr="00A83FDD">
        <w:rPr>
          <w:b/>
          <w:bCs/>
          <w:sz w:val="24"/>
          <w:szCs w:val="24"/>
        </w:rPr>
        <w:t>Město Nový Jičín</w:t>
      </w:r>
    </w:p>
    <w:p w14:paraId="7B74A0C4" w14:textId="645E6897" w:rsidR="00A83FDD" w:rsidRDefault="00A83FDD" w:rsidP="00A83FDD">
      <w:pPr>
        <w:jc w:val="center"/>
        <w:rPr>
          <w:b/>
          <w:bCs/>
          <w:sz w:val="24"/>
          <w:szCs w:val="24"/>
        </w:rPr>
      </w:pPr>
      <w:r w:rsidRPr="00A83FDD">
        <w:rPr>
          <w:b/>
          <w:bCs/>
          <w:sz w:val="24"/>
          <w:szCs w:val="24"/>
        </w:rPr>
        <w:t>Odbor rozvoje a investic Městského úřadu Nový Jičín</w:t>
      </w:r>
    </w:p>
    <w:p w14:paraId="2BA8036D" w14:textId="4217331D" w:rsidR="00C265AF" w:rsidRPr="00A83FDD" w:rsidRDefault="00C265AF" w:rsidP="00A83FD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Masarykovo náměstí 1/1, 74201 Nový Jičín</w:t>
      </w:r>
    </w:p>
    <w:p w14:paraId="444869C0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  <w:r w:rsidRPr="00A83FDD">
        <w:rPr>
          <w:b/>
          <w:bCs/>
          <w:sz w:val="24"/>
          <w:szCs w:val="24"/>
        </w:rPr>
        <w:t>IČO: 00298212</w:t>
      </w:r>
    </w:p>
    <w:p w14:paraId="290DCFFB" w14:textId="77777777" w:rsid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4B86627C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11F092DF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553F41D0" w14:textId="77777777" w:rsidR="00A83FDD" w:rsidRPr="00A83FDD" w:rsidRDefault="00A83FDD" w:rsidP="00A83FDD">
      <w:pPr>
        <w:jc w:val="center"/>
        <w:rPr>
          <w:sz w:val="24"/>
          <w:szCs w:val="24"/>
        </w:rPr>
      </w:pPr>
      <w:r w:rsidRPr="00A83FDD">
        <w:rPr>
          <w:sz w:val="24"/>
          <w:szCs w:val="24"/>
        </w:rPr>
        <w:t>Vypracoval:</w:t>
      </w:r>
    </w:p>
    <w:p w14:paraId="76CCA95E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  <w:r w:rsidRPr="00A83FDD">
        <w:rPr>
          <w:b/>
          <w:bCs/>
          <w:sz w:val="24"/>
          <w:szCs w:val="24"/>
        </w:rPr>
        <w:t>Jindřich Kudlík</w:t>
      </w:r>
    </w:p>
    <w:p w14:paraId="248A6F11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  <w:r w:rsidRPr="00A83FDD">
        <w:rPr>
          <w:b/>
          <w:bCs/>
          <w:sz w:val="24"/>
          <w:szCs w:val="24"/>
        </w:rPr>
        <w:t>Seifertova 699, 757 01 Valašské Meziříčí</w:t>
      </w:r>
    </w:p>
    <w:p w14:paraId="6DD392A6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  <w:r w:rsidRPr="00A83FDD">
        <w:rPr>
          <w:b/>
          <w:bCs/>
          <w:sz w:val="24"/>
          <w:szCs w:val="24"/>
        </w:rPr>
        <w:t>IČO: 63002604</w:t>
      </w:r>
    </w:p>
    <w:p w14:paraId="68ADE256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71D0FD24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798C509A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16FD0DF9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050DBDD6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7B386CF1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3EB84E37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3F9D66C7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147CAF1F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0E56EF0A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381CFDA4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4B3B6075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3FF04737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7FE8D33B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21FC7EDD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6E9BA4A5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64084F44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2DD5D153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7ECC2D06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79E83124" w14:textId="77777777" w:rsidR="00A83FDD" w:rsidRPr="00A83FDD" w:rsidRDefault="00A83FDD" w:rsidP="00A83FDD">
      <w:pPr>
        <w:jc w:val="center"/>
        <w:rPr>
          <w:sz w:val="24"/>
          <w:szCs w:val="24"/>
        </w:rPr>
      </w:pPr>
    </w:p>
    <w:p w14:paraId="5BB23CEB" w14:textId="77777777" w:rsidR="00A83FDD" w:rsidRPr="00A83FDD" w:rsidRDefault="00A83FDD" w:rsidP="00A83FDD">
      <w:pPr>
        <w:jc w:val="center"/>
        <w:rPr>
          <w:b/>
          <w:bCs/>
          <w:sz w:val="24"/>
          <w:szCs w:val="24"/>
        </w:rPr>
      </w:pPr>
    </w:p>
    <w:p w14:paraId="5FD7F38A" w14:textId="77777777" w:rsidR="00A83FDD" w:rsidRPr="00A83FDD" w:rsidRDefault="00A83FDD" w:rsidP="00A83FDD">
      <w:pPr>
        <w:jc w:val="center"/>
        <w:rPr>
          <w:sz w:val="24"/>
          <w:szCs w:val="24"/>
        </w:rPr>
      </w:pPr>
      <w:r w:rsidRPr="00A83FDD">
        <w:rPr>
          <w:sz w:val="24"/>
          <w:szCs w:val="24"/>
        </w:rPr>
        <w:t>Valašské meziříčí – 06/2024</w:t>
      </w:r>
    </w:p>
    <w:p w14:paraId="7AA6CBBF" w14:textId="77777777" w:rsidR="00A83FDD" w:rsidRPr="00A83FDD" w:rsidRDefault="00A83FDD" w:rsidP="00A83FDD">
      <w:pPr>
        <w:jc w:val="center"/>
        <w:rPr>
          <w:sz w:val="24"/>
          <w:szCs w:val="24"/>
        </w:rPr>
      </w:pPr>
      <w:r w:rsidRPr="00A83FDD">
        <w:rPr>
          <w:sz w:val="24"/>
          <w:szCs w:val="24"/>
        </w:rPr>
        <w:t>Číslo zakázky: 1-P-0624</w:t>
      </w:r>
    </w:p>
    <w:p w14:paraId="6BE35DB0" w14:textId="77777777" w:rsidR="00A83FDD" w:rsidRPr="00A83FDD" w:rsidRDefault="00A83FDD" w:rsidP="00A83FDD"/>
    <w:p w14:paraId="41CC3669" w14:textId="77777777" w:rsidR="00527FAA" w:rsidRDefault="00527FAA"/>
    <w:p w14:paraId="668F3FFF" w14:textId="77777777" w:rsidR="00A83FDD" w:rsidRDefault="00A83FDD"/>
    <w:p w14:paraId="5AD097F0" w14:textId="15947DDE" w:rsidR="00A83FDD" w:rsidRPr="00C265AF" w:rsidRDefault="00A83FDD" w:rsidP="00A83FDD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C265AF">
        <w:rPr>
          <w:b/>
          <w:bCs/>
          <w:sz w:val="24"/>
          <w:szCs w:val="24"/>
          <w:u w:val="single"/>
        </w:rPr>
        <w:t>Popis území stavby ochrana území podle jiných právních předpisů, zvláště chráněné území apod.</w:t>
      </w:r>
    </w:p>
    <w:p w14:paraId="211AE9D1" w14:textId="77777777" w:rsidR="00A83FDD" w:rsidRPr="00C265AF" w:rsidRDefault="00A83FDD" w:rsidP="00A83FDD">
      <w:pPr>
        <w:rPr>
          <w:sz w:val="24"/>
          <w:szCs w:val="24"/>
        </w:rPr>
      </w:pPr>
    </w:p>
    <w:p w14:paraId="6BE94218" w14:textId="37849208" w:rsidR="00A83FDD" w:rsidRPr="00C265AF" w:rsidRDefault="00A83FDD" w:rsidP="00A83FDD">
      <w:pPr>
        <w:rPr>
          <w:sz w:val="24"/>
          <w:szCs w:val="24"/>
        </w:rPr>
      </w:pPr>
      <w:r w:rsidRPr="00C265AF">
        <w:rPr>
          <w:sz w:val="24"/>
          <w:szCs w:val="24"/>
        </w:rPr>
        <w:t>Předmětná budova Restaurace Nové Slunce a související objekty se nacházejí ve městě Nový Jičín v katastrálním území Nový Jičín – Horní Předměstí. Terén pozemku (zahrady) je velké části travnatý, s nízkou i se vzrostlou zelení. Vstupy a vjezdy do budovy a jejího areálu jsou ze severovýchodní strany.</w:t>
      </w:r>
    </w:p>
    <w:p w14:paraId="6A036E06" w14:textId="77777777" w:rsidR="00A83FDD" w:rsidRPr="00C265AF" w:rsidRDefault="00A83FDD" w:rsidP="00A83FDD">
      <w:pPr>
        <w:rPr>
          <w:sz w:val="24"/>
          <w:szCs w:val="24"/>
        </w:rPr>
      </w:pPr>
    </w:p>
    <w:p w14:paraId="513726B2" w14:textId="15446DBD" w:rsidR="00A83FDD" w:rsidRPr="00C265AF" w:rsidRDefault="00A83FDD" w:rsidP="00A83FDD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C265AF">
        <w:rPr>
          <w:b/>
          <w:bCs/>
          <w:sz w:val="24"/>
          <w:szCs w:val="24"/>
          <w:u w:val="single"/>
        </w:rPr>
        <w:t>Celkový popis stavby</w:t>
      </w:r>
    </w:p>
    <w:p w14:paraId="1C68985C" w14:textId="77777777" w:rsidR="00A83FDD" w:rsidRPr="00C265AF" w:rsidRDefault="00A83FDD" w:rsidP="00A83FDD">
      <w:pPr>
        <w:rPr>
          <w:sz w:val="24"/>
          <w:szCs w:val="24"/>
        </w:rPr>
      </w:pPr>
    </w:p>
    <w:p w14:paraId="7C61F2DC" w14:textId="1E7A05F7" w:rsidR="00A83FDD" w:rsidRPr="00C265AF" w:rsidRDefault="00A83FDD" w:rsidP="00A83FDD">
      <w:pPr>
        <w:pStyle w:val="Odstavecseseznamem"/>
        <w:numPr>
          <w:ilvl w:val="0"/>
          <w:numId w:val="2"/>
        </w:numPr>
        <w:rPr>
          <w:b/>
          <w:bCs/>
          <w:sz w:val="24"/>
          <w:szCs w:val="24"/>
        </w:rPr>
      </w:pPr>
      <w:r w:rsidRPr="00C265AF">
        <w:rPr>
          <w:b/>
          <w:bCs/>
          <w:sz w:val="24"/>
          <w:szCs w:val="24"/>
        </w:rPr>
        <w:t>Účel užívání stavby</w:t>
      </w:r>
    </w:p>
    <w:p w14:paraId="1F84A01F" w14:textId="6CBE6138" w:rsidR="00A83FDD" w:rsidRPr="00C265AF" w:rsidRDefault="00A83FDD" w:rsidP="00A83FDD">
      <w:pPr>
        <w:rPr>
          <w:sz w:val="24"/>
          <w:szCs w:val="24"/>
        </w:rPr>
      </w:pPr>
      <w:r w:rsidRPr="00C265AF">
        <w:rPr>
          <w:sz w:val="24"/>
          <w:szCs w:val="24"/>
        </w:rPr>
        <w:t>Restaurace: s kuchyní a otevřenou terasou</w:t>
      </w:r>
    </w:p>
    <w:p w14:paraId="6D7A2DB2" w14:textId="77777777" w:rsidR="00A83FDD" w:rsidRPr="00C265AF" w:rsidRDefault="00A83FDD" w:rsidP="00A83FDD">
      <w:pPr>
        <w:ind w:left="360"/>
        <w:rPr>
          <w:sz w:val="24"/>
          <w:szCs w:val="24"/>
        </w:rPr>
      </w:pPr>
    </w:p>
    <w:p w14:paraId="1657520F" w14:textId="177C8427" w:rsidR="00A83FDD" w:rsidRPr="00C265AF" w:rsidRDefault="00A83FDD" w:rsidP="00A83FDD">
      <w:pPr>
        <w:pStyle w:val="Odstavecseseznamem"/>
        <w:numPr>
          <w:ilvl w:val="0"/>
          <w:numId w:val="2"/>
        </w:numPr>
        <w:rPr>
          <w:b/>
          <w:bCs/>
          <w:sz w:val="24"/>
          <w:szCs w:val="24"/>
        </w:rPr>
      </w:pPr>
      <w:r w:rsidRPr="00C265AF">
        <w:rPr>
          <w:b/>
          <w:bCs/>
          <w:sz w:val="24"/>
          <w:szCs w:val="24"/>
        </w:rPr>
        <w:t>Trvalá nebo dočasná stavba</w:t>
      </w:r>
    </w:p>
    <w:p w14:paraId="0DD25690" w14:textId="4A45F44E" w:rsidR="00A83FDD" w:rsidRPr="00C265AF" w:rsidRDefault="00A83FDD" w:rsidP="00A83FDD">
      <w:pPr>
        <w:rPr>
          <w:sz w:val="24"/>
          <w:szCs w:val="24"/>
        </w:rPr>
      </w:pPr>
      <w:r w:rsidRPr="00C265AF">
        <w:rPr>
          <w:sz w:val="24"/>
          <w:szCs w:val="24"/>
        </w:rPr>
        <w:t>Trvalá stavba</w:t>
      </w:r>
    </w:p>
    <w:p w14:paraId="1AC677CC" w14:textId="77777777" w:rsidR="00A83FDD" w:rsidRPr="00C265AF" w:rsidRDefault="00A83FDD" w:rsidP="00A83FDD">
      <w:pPr>
        <w:rPr>
          <w:sz w:val="24"/>
          <w:szCs w:val="24"/>
        </w:rPr>
      </w:pPr>
    </w:p>
    <w:p w14:paraId="3BC4C0C9" w14:textId="7E56B4D9" w:rsidR="00A83FDD" w:rsidRPr="00C265AF" w:rsidRDefault="00A83FDD" w:rsidP="00A83FDD">
      <w:pPr>
        <w:pStyle w:val="Odstavecseseznamem"/>
        <w:numPr>
          <w:ilvl w:val="0"/>
          <w:numId w:val="2"/>
        </w:numPr>
        <w:rPr>
          <w:b/>
          <w:bCs/>
          <w:sz w:val="24"/>
          <w:szCs w:val="24"/>
        </w:rPr>
      </w:pPr>
      <w:r w:rsidRPr="00C265AF">
        <w:rPr>
          <w:b/>
          <w:bCs/>
          <w:sz w:val="24"/>
          <w:szCs w:val="24"/>
        </w:rPr>
        <w:t>Ochrana stavby podle jiných právních předpisů</w:t>
      </w:r>
    </w:p>
    <w:p w14:paraId="39C91892" w14:textId="07BE290C" w:rsidR="00A83FDD" w:rsidRPr="00C265AF" w:rsidRDefault="00A83FDD" w:rsidP="00A83FDD">
      <w:pPr>
        <w:rPr>
          <w:sz w:val="24"/>
          <w:szCs w:val="24"/>
        </w:rPr>
      </w:pPr>
      <w:r w:rsidRPr="00C265AF">
        <w:rPr>
          <w:sz w:val="24"/>
          <w:szCs w:val="24"/>
        </w:rPr>
        <w:t>Jedná se o památkově chráněnou budovu</w:t>
      </w:r>
    </w:p>
    <w:p w14:paraId="26E3CBA6" w14:textId="77777777" w:rsidR="00A83FDD" w:rsidRPr="00C265AF" w:rsidRDefault="00A83FDD" w:rsidP="00A83FDD">
      <w:pPr>
        <w:rPr>
          <w:sz w:val="24"/>
          <w:szCs w:val="24"/>
        </w:rPr>
      </w:pPr>
    </w:p>
    <w:p w14:paraId="3795E63B" w14:textId="7694FBBF" w:rsidR="00A83FDD" w:rsidRPr="00C265AF" w:rsidRDefault="00A83FDD" w:rsidP="00A83FDD">
      <w:pPr>
        <w:pStyle w:val="Odstavecseseznamem"/>
        <w:numPr>
          <w:ilvl w:val="0"/>
          <w:numId w:val="2"/>
        </w:numPr>
        <w:rPr>
          <w:b/>
          <w:bCs/>
          <w:sz w:val="24"/>
          <w:szCs w:val="24"/>
        </w:rPr>
      </w:pPr>
      <w:r w:rsidRPr="00C265AF">
        <w:rPr>
          <w:b/>
          <w:bCs/>
          <w:sz w:val="24"/>
          <w:szCs w:val="24"/>
        </w:rPr>
        <w:t xml:space="preserve">Parametry stavby – </w:t>
      </w:r>
      <w:proofErr w:type="spellStart"/>
      <w:r w:rsidRPr="00C265AF">
        <w:rPr>
          <w:b/>
          <w:bCs/>
          <w:sz w:val="24"/>
          <w:szCs w:val="24"/>
        </w:rPr>
        <w:t>zast</w:t>
      </w:r>
      <w:proofErr w:type="spellEnd"/>
      <w:r w:rsidRPr="00C265AF">
        <w:rPr>
          <w:b/>
          <w:bCs/>
          <w:sz w:val="24"/>
          <w:szCs w:val="24"/>
        </w:rPr>
        <w:t>. plocha, obestavěný prostor (užitná plocha, počet velikost funkčních jednotek)</w:t>
      </w:r>
    </w:p>
    <w:p w14:paraId="02B1795D" w14:textId="6AB4CB4F" w:rsidR="00A83FDD" w:rsidRPr="00C265AF" w:rsidRDefault="00A83FDD" w:rsidP="00A83FDD">
      <w:pPr>
        <w:rPr>
          <w:sz w:val="24"/>
          <w:szCs w:val="24"/>
          <w:vertAlign w:val="superscript"/>
        </w:rPr>
      </w:pPr>
      <w:r w:rsidRPr="00C265AF">
        <w:rPr>
          <w:sz w:val="24"/>
          <w:szCs w:val="24"/>
        </w:rPr>
        <w:t>Zastavěná plocha</w:t>
      </w:r>
      <w:r w:rsidRPr="00C265AF">
        <w:rPr>
          <w:sz w:val="24"/>
          <w:szCs w:val="24"/>
        </w:rPr>
        <w:tab/>
      </w:r>
      <w:r w:rsidRPr="00C265AF">
        <w:rPr>
          <w:sz w:val="24"/>
          <w:szCs w:val="24"/>
        </w:rPr>
        <w:tab/>
        <w:t>cca</w:t>
      </w:r>
      <w:r w:rsidRPr="00C265AF">
        <w:rPr>
          <w:sz w:val="24"/>
          <w:szCs w:val="24"/>
          <w:u w:val="single"/>
        </w:rPr>
        <w:t xml:space="preserve"> 1020</w:t>
      </w:r>
      <w:r w:rsidR="00C265AF" w:rsidRPr="00C265AF">
        <w:rPr>
          <w:sz w:val="24"/>
          <w:szCs w:val="24"/>
          <w:u w:val="single"/>
        </w:rPr>
        <w:t xml:space="preserve"> </w:t>
      </w:r>
      <w:r w:rsidRPr="00C265AF">
        <w:rPr>
          <w:sz w:val="24"/>
          <w:szCs w:val="24"/>
          <w:u w:val="single"/>
        </w:rPr>
        <w:t>m</w:t>
      </w:r>
      <w:r w:rsidRPr="00C265AF">
        <w:rPr>
          <w:sz w:val="24"/>
          <w:szCs w:val="24"/>
          <w:u w:val="single"/>
          <w:vertAlign w:val="superscript"/>
        </w:rPr>
        <w:t>2</w:t>
      </w:r>
    </w:p>
    <w:p w14:paraId="12BB0102" w14:textId="34E88D36" w:rsidR="00A83FDD" w:rsidRPr="00C265AF" w:rsidRDefault="00A83FDD" w:rsidP="00A83FDD">
      <w:pPr>
        <w:rPr>
          <w:sz w:val="24"/>
          <w:szCs w:val="24"/>
        </w:rPr>
      </w:pPr>
      <w:r w:rsidRPr="00C265AF">
        <w:rPr>
          <w:sz w:val="24"/>
          <w:szCs w:val="24"/>
        </w:rPr>
        <w:t>Obestavěný prostor</w:t>
      </w:r>
      <w:r w:rsidRPr="00C265AF">
        <w:rPr>
          <w:sz w:val="24"/>
          <w:szCs w:val="24"/>
        </w:rPr>
        <w:tab/>
      </w:r>
      <w:r w:rsidRPr="00C265AF">
        <w:rPr>
          <w:sz w:val="24"/>
          <w:szCs w:val="24"/>
        </w:rPr>
        <w:tab/>
        <w:t>cca</w:t>
      </w:r>
      <w:r w:rsidRPr="00C265AF">
        <w:rPr>
          <w:sz w:val="24"/>
          <w:szCs w:val="24"/>
          <w:u w:val="single"/>
        </w:rPr>
        <w:t xml:space="preserve"> </w:t>
      </w:r>
      <w:r w:rsidR="00C265AF" w:rsidRPr="00C265AF">
        <w:rPr>
          <w:sz w:val="24"/>
          <w:szCs w:val="24"/>
          <w:u w:val="single"/>
        </w:rPr>
        <w:t>5660</w:t>
      </w:r>
      <w:r w:rsidRPr="00C265AF">
        <w:rPr>
          <w:sz w:val="24"/>
          <w:szCs w:val="24"/>
          <w:u w:val="single"/>
        </w:rPr>
        <w:t xml:space="preserve"> m</w:t>
      </w:r>
      <w:r w:rsidRPr="00C265AF">
        <w:rPr>
          <w:sz w:val="24"/>
          <w:szCs w:val="24"/>
          <w:u w:val="single"/>
          <w:vertAlign w:val="superscript"/>
        </w:rPr>
        <w:t>3</w:t>
      </w:r>
    </w:p>
    <w:p w14:paraId="7324EBCD" w14:textId="77777777" w:rsidR="00A83FDD" w:rsidRPr="00C265AF" w:rsidRDefault="00A83FDD" w:rsidP="00A83FDD">
      <w:pPr>
        <w:rPr>
          <w:sz w:val="24"/>
          <w:szCs w:val="24"/>
        </w:rPr>
      </w:pPr>
    </w:p>
    <w:p w14:paraId="75E838C3" w14:textId="380E4E1D" w:rsidR="00A83FDD" w:rsidRPr="00C265AF" w:rsidRDefault="00A83FDD" w:rsidP="00A83FDD">
      <w:pPr>
        <w:pStyle w:val="Odstavecseseznamem"/>
        <w:numPr>
          <w:ilvl w:val="0"/>
          <w:numId w:val="2"/>
        </w:numPr>
        <w:rPr>
          <w:b/>
          <w:bCs/>
          <w:sz w:val="24"/>
          <w:szCs w:val="24"/>
        </w:rPr>
      </w:pPr>
      <w:r w:rsidRPr="00C265AF">
        <w:rPr>
          <w:b/>
          <w:bCs/>
          <w:sz w:val="24"/>
          <w:szCs w:val="24"/>
        </w:rPr>
        <w:t>Základní bilance stavby, její napojení na média</w:t>
      </w:r>
    </w:p>
    <w:p w14:paraId="443869CB" w14:textId="024F226F" w:rsidR="00A83FDD" w:rsidRPr="00C265AF" w:rsidRDefault="00A83FDD" w:rsidP="00A83FDD">
      <w:pPr>
        <w:rPr>
          <w:sz w:val="24"/>
          <w:szCs w:val="24"/>
        </w:rPr>
      </w:pPr>
      <w:r w:rsidRPr="00C265AF">
        <w:rPr>
          <w:sz w:val="24"/>
          <w:szCs w:val="24"/>
        </w:rPr>
        <w:t xml:space="preserve">Budova je napojena na média, </w:t>
      </w:r>
      <w:proofErr w:type="spellStart"/>
      <w:r w:rsidRPr="00C265AF">
        <w:rPr>
          <w:sz w:val="24"/>
          <w:szCs w:val="24"/>
        </w:rPr>
        <w:t>konkr</w:t>
      </w:r>
      <w:proofErr w:type="spellEnd"/>
      <w:r w:rsidRPr="00C265AF">
        <w:rPr>
          <w:sz w:val="24"/>
          <w:szCs w:val="24"/>
        </w:rPr>
        <w:t>. na elektrickou energii z hlavního rozvaděče polo</w:t>
      </w:r>
      <w:r w:rsidR="00C265AF">
        <w:rPr>
          <w:sz w:val="24"/>
          <w:szCs w:val="24"/>
        </w:rPr>
        <w:t>su</w:t>
      </w:r>
      <w:r w:rsidRPr="00C265AF">
        <w:rPr>
          <w:sz w:val="24"/>
          <w:szCs w:val="24"/>
        </w:rPr>
        <w:t>terénu, voda je odebírána z veřejného vodovodu, splašková voda je z objektu napojena do veřejné kanalizace. Restaurace je vytápěna z kotelny v suterénu a v minulosti také lokálně (ostatní budovy) pomocí topidel napojených do komínů</w:t>
      </w:r>
    </w:p>
    <w:p w14:paraId="457CC538" w14:textId="22E21796" w:rsidR="00A83FDD" w:rsidRPr="00C265AF" w:rsidRDefault="00A83FDD" w:rsidP="00A83FDD">
      <w:pPr>
        <w:rPr>
          <w:sz w:val="24"/>
          <w:szCs w:val="24"/>
        </w:rPr>
      </w:pPr>
      <w:r w:rsidRPr="00C265AF">
        <w:rPr>
          <w:sz w:val="24"/>
          <w:szCs w:val="24"/>
        </w:rPr>
        <w:tab/>
        <w:t>Pozn.: Celkové potřeby a spotřeby médií, hmot ani celkové produkované množství odpadů nejsou předmětem řešení této P.D.</w:t>
      </w:r>
    </w:p>
    <w:p w14:paraId="2942CB74" w14:textId="77777777" w:rsidR="00A83FDD" w:rsidRPr="00C265AF" w:rsidRDefault="00A83FDD" w:rsidP="00A83FDD">
      <w:pPr>
        <w:rPr>
          <w:sz w:val="24"/>
          <w:szCs w:val="24"/>
        </w:rPr>
      </w:pPr>
    </w:p>
    <w:p w14:paraId="1B0F8E91" w14:textId="4E0C7B49" w:rsidR="00A83FDD" w:rsidRPr="00C265AF" w:rsidRDefault="00C96D32" w:rsidP="00C96D32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C265AF">
        <w:rPr>
          <w:b/>
          <w:bCs/>
          <w:sz w:val="24"/>
          <w:szCs w:val="24"/>
          <w:u w:val="single"/>
        </w:rPr>
        <w:t>Architektonický a stavebně technický popis stavby</w:t>
      </w:r>
    </w:p>
    <w:p w14:paraId="3C7C456F" w14:textId="77777777" w:rsidR="00C96D32" w:rsidRPr="00C265AF" w:rsidRDefault="00C96D32" w:rsidP="00C96D32">
      <w:pPr>
        <w:rPr>
          <w:sz w:val="24"/>
          <w:szCs w:val="24"/>
        </w:rPr>
      </w:pPr>
    </w:p>
    <w:p w14:paraId="430B6C28" w14:textId="6BE363AB" w:rsidR="00C96D32" w:rsidRPr="00C265AF" w:rsidRDefault="00C96D32" w:rsidP="00C96D32">
      <w:pPr>
        <w:rPr>
          <w:sz w:val="24"/>
          <w:szCs w:val="24"/>
        </w:rPr>
      </w:pPr>
      <w:r w:rsidRPr="00C265AF">
        <w:rPr>
          <w:sz w:val="24"/>
          <w:szCs w:val="24"/>
        </w:rPr>
        <w:t xml:space="preserve">Restaurace Nové Slunce je velkoryse koncipovanou stavbou s architektonickými prvky secese. Jedná se o samostatně stojící podsklepenou, značně členitou stavbu, téměř čtvercového půdorysu v prostoru Horního Předměstí Nového Jičína v mírně svažitém terénu. Tento objekt je v zásadě součástí areálu, jehož výstavbu lze datovat před rok 1910. Stavebníkem byla tehdejší spolumajitelka pivovaru Albertina </w:t>
      </w:r>
      <w:proofErr w:type="spellStart"/>
      <w:r w:rsidRPr="00C265AF">
        <w:rPr>
          <w:sz w:val="24"/>
          <w:szCs w:val="24"/>
        </w:rPr>
        <w:t>K</w:t>
      </w:r>
      <w:r w:rsidR="00C265AF">
        <w:rPr>
          <w:sz w:val="24"/>
          <w:szCs w:val="24"/>
        </w:rPr>
        <w:t>u</w:t>
      </w:r>
      <w:r w:rsidRPr="00C265AF">
        <w:rPr>
          <w:sz w:val="24"/>
          <w:szCs w:val="24"/>
        </w:rPr>
        <w:t>dielková</w:t>
      </w:r>
      <w:proofErr w:type="spellEnd"/>
      <w:r w:rsidRPr="00C265AF">
        <w:rPr>
          <w:sz w:val="24"/>
          <w:szCs w:val="24"/>
        </w:rPr>
        <w:t>. Budova vznikla dle plánů Novojičínského stavitele Josefa Bluma z roku 1907. Kolem poloviny 20 století bylo do velkého sálu umístěno kino KOSMOS.</w:t>
      </w:r>
    </w:p>
    <w:p w14:paraId="7D977391" w14:textId="1F4072C8" w:rsidR="00C96D32" w:rsidRPr="00C265AF" w:rsidRDefault="00C96D32" w:rsidP="00C96D32">
      <w:pPr>
        <w:rPr>
          <w:sz w:val="24"/>
          <w:szCs w:val="24"/>
        </w:rPr>
      </w:pPr>
      <w:r w:rsidRPr="00C265AF">
        <w:rPr>
          <w:sz w:val="24"/>
          <w:szCs w:val="24"/>
        </w:rPr>
        <w:t>Svým severovýchodním rytmizovaným prů</w:t>
      </w:r>
      <w:r w:rsidR="00C265AF">
        <w:rPr>
          <w:sz w:val="24"/>
          <w:szCs w:val="24"/>
        </w:rPr>
        <w:t>č</w:t>
      </w:r>
      <w:r w:rsidRPr="00C265AF">
        <w:rPr>
          <w:sz w:val="24"/>
          <w:szCs w:val="24"/>
        </w:rPr>
        <w:t>elím je budova orientována do ulice Husovy. Objekt restaurace je ze severozápadní strany obklopen velkoplošnou zahradou, vymezenou nádvořím ulic Husovy a Slovanské. Areál je obehnán jak kovovým oplocením na kamenné po</w:t>
      </w:r>
      <w:r w:rsidR="00C265AF">
        <w:rPr>
          <w:sz w:val="24"/>
          <w:szCs w:val="24"/>
        </w:rPr>
        <w:t>dezdívce</w:t>
      </w:r>
      <w:r w:rsidRPr="00C265AF">
        <w:rPr>
          <w:sz w:val="24"/>
          <w:szCs w:val="24"/>
        </w:rPr>
        <w:t>, tak plným zděným oplocením, do kterého jsou umístěny vjezdové brány a vstupní brank</w:t>
      </w:r>
      <w:r w:rsidR="00C265AF">
        <w:rPr>
          <w:sz w:val="24"/>
          <w:szCs w:val="24"/>
        </w:rPr>
        <w:t>a</w:t>
      </w:r>
      <w:r w:rsidRPr="00C265AF">
        <w:rPr>
          <w:sz w:val="24"/>
          <w:szCs w:val="24"/>
        </w:rPr>
        <w:t xml:space="preserve"> (do severní dvoupodlažní stavby). V jihozápadní části </w:t>
      </w:r>
      <w:r w:rsidRPr="00C265AF">
        <w:rPr>
          <w:sz w:val="24"/>
          <w:szCs w:val="24"/>
        </w:rPr>
        <w:lastRenderedPageBreak/>
        <w:t xml:space="preserve">areálu se nachází provozně </w:t>
      </w:r>
      <w:proofErr w:type="gramStart"/>
      <w:r w:rsidRPr="00C265AF">
        <w:rPr>
          <w:sz w:val="24"/>
          <w:szCs w:val="24"/>
        </w:rPr>
        <w:t>technické  -</w:t>
      </w:r>
      <w:proofErr w:type="gramEnd"/>
      <w:r w:rsidRPr="00C265AF">
        <w:rPr>
          <w:sz w:val="24"/>
          <w:szCs w:val="24"/>
        </w:rPr>
        <w:t xml:space="preserve"> objekty (garáže, dílenská hala a sociální zázemí (</w:t>
      </w:r>
      <w:proofErr w:type="spellStart"/>
      <w:r w:rsidRPr="00C265AF">
        <w:rPr>
          <w:sz w:val="24"/>
          <w:szCs w:val="24"/>
        </w:rPr>
        <w:t>WC+šatna</w:t>
      </w:r>
      <w:proofErr w:type="spellEnd"/>
      <w:r w:rsidRPr="00C265AF">
        <w:rPr>
          <w:sz w:val="24"/>
          <w:szCs w:val="24"/>
        </w:rPr>
        <w:t>), všechny jednopodlažní s rovnými, mírně spádovými střecha</w:t>
      </w:r>
      <w:r w:rsidR="00C265AF">
        <w:rPr>
          <w:sz w:val="24"/>
          <w:szCs w:val="24"/>
        </w:rPr>
        <w:t>mi</w:t>
      </w:r>
      <w:r w:rsidRPr="00C265AF">
        <w:rPr>
          <w:sz w:val="24"/>
          <w:szCs w:val="24"/>
        </w:rPr>
        <w:t>.</w:t>
      </w:r>
    </w:p>
    <w:p w14:paraId="23C20BD6" w14:textId="69287DB4" w:rsidR="00C96D32" w:rsidRPr="00C265AF" w:rsidRDefault="00C96D32" w:rsidP="00C96D32">
      <w:pPr>
        <w:rPr>
          <w:sz w:val="24"/>
          <w:szCs w:val="24"/>
        </w:rPr>
      </w:pPr>
      <w:r w:rsidRPr="00C265AF">
        <w:rPr>
          <w:sz w:val="24"/>
          <w:szCs w:val="24"/>
        </w:rPr>
        <w:t>Objekt sestává ze čtyř hlavních hmot (staveb) rozdílných objemů. Ústřední jednopodlažní</w:t>
      </w:r>
      <w:r w:rsidR="00C265AF">
        <w:rPr>
          <w:sz w:val="24"/>
          <w:szCs w:val="24"/>
        </w:rPr>
        <w:t xml:space="preserve"> objekt</w:t>
      </w:r>
      <w:r w:rsidRPr="00C265AF">
        <w:rPr>
          <w:sz w:val="24"/>
          <w:szCs w:val="24"/>
        </w:rPr>
        <w:t xml:space="preserve"> hloubkové dispozice je zastřešena sedlovou střechou se stylizovanými zděnými </w:t>
      </w:r>
      <w:r w:rsidR="00BC0EC3" w:rsidRPr="00C265AF">
        <w:rPr>
          <w:sz w:val="24"/>
          <w:szCs w:val="24"/>
        </w:rPr>
        <w:t>ští</w:t>
      </w:r>
      <w:r w:rsidRPr="00C265AF">
        <w:rPr>
          <w:sz w:val="24"/>
          <w:szCs w:val="24"/>
        </w:rPr>
        <w:t>ty. Vrchní</w:t>
      </w:r>
      <w:r w:rsidR="00BC0EC3" w:rsidRPr="00C265AF">
        <w:rPr>
          <w:sz w:val="24"/>
          <w:szCs w:val="24"/>
        </w:rPr>
        <w:t xml:space="preserve"> </w:t>
      </w:r>
      <w:r w:rsidRPr="00C265AF">
        <w:rPr>
          <w:sz w:val="24"/>
          <w:szCs w:val="24"/>
        </w:rPr>
        <w:t xml:space="preserve">část plochy SV štítu je zdobená centrálním </w:t>
      </w:r>
      <w:r w:rsidR="00BC0EC3" w:rsidRPr="00C265AF">
        <w:rPr>
          <w:sz w:val="24"/>
          <w:szCs w:val="24"/>
        </w:rPr>
        <w:t xml:space="preserve">reliéfem slunce </w:t>
      </w:r>
      <w:r w:rsidR="00C265AF">
        <w:rPr>
          <w:sz w:val="24"/>
          <w:szCs w:val="24"/>
        </w:rPr>
        <w:t xml:space="preserve">s </w:t>
      </w:r>
      <w:r w:rsidR="00BC0EC3" w:rsidRPr="00C265AF">
        <w:rPr>
          <w:sz w:val="24"/>
          <w:szCs w:val="24"/>
        </w:rPr>
        <w:t xml:space="preserve">obličejovou maskou. K ústřední budově z obou stan přiléhají dva přízemní objekty s mansardovými střechami. Prostor mezi </w:t>
      </w:r>
      <w:proofErr w:type="gramStart"/>
      <w:r w:rsidR="00BC0EC3" w:rsidRPr="00C265AF">
        <w:rPr>
          <w:sz w:val="24"/>
          <w:szCs w:val="24"/>
        </w:rPr>
        <w:t>postranními  stavbami</w:t>
      </w:r>
      <w:proofErr w:type="gramEnd"/>
      <w:r w:rsidR="00BC0EC3" w:rsidRPr="00C265AF">
        <w:rPr>
          <w:sz w:val="24"/>
          <w:szCs w:val="24"/>
        </w:rPr>
        <w:t xml:space="preserve"> vyplňuje přízemní </w:t>
      </w:r>
      <w:r w:rsidR="00C265AF">
        <w:rPr>
          <w:sz w:val="24"/>
          <w:szCs w:val="24"/>
        </w:rPr>
        <w:t>veranda</w:t>
      </w:r>
      <w:r w:rsidR="00BC0EC3" w:rsidRPr="00C265AF">
        <w:rPr>
          <w:sz w:val="24"/>
          <w:szCs w:val="24"/>
        </w:rPr>
        <w:t xml:space="preserve"> ukončená rovno</w:t>
      </w:r>
      <w:r w:rsidR="00C265AF">
        <w:rPr>
          <w:sz w:val="24"/>
          <w:szCs w:val="24"/>
        </w:rPr>
        <w:t>u, m</w:t>
      </w:r>
      <w:r w:rsidR="00BC0EC3" w:rsidRPr="00C265AF">
        <w:rPr>
          <w:sz w:val="24"/>
          <w:szCs w:val="24"/>
        </w:rPr>
        <w:t xml:space="preserve">írně spádovou střechou. V severní pozici komplexu je umístěna čtvrtá, dvoupodlažní budova s mansardovou střechou. Za hlavním restauračním objektem je situována terasa s venkovním posezením. Rozdělení a členitost těchto hmot (staveb) se projevuje na </w:t>
      </w:r>
      <w:proofErr w:type="spellStart"/>
      <w:r w:rsidR="00BC0EC3" w:rsidRPr="00C265AF">
        <w:rPr>
          <w:sz w:val="24"/>
          <w:szCs w:val="24"/>
        </w:rPr>
        <w:t>průželích</w:t>
      </w:r>
      <w:proofErr w:type="spellEnd"/>
      <w:r w:rsidR="00BC0EC3" w:rsidRPr="00C265AF">
        <w:rPr>
          <w:sz w:val="24"/>
          <w:szCs w:val="24"/>
        </w:rPr>
        <w:t xml:space="preserve"> budovy, zejména na severovýchodní fasádě. Ty jsou horizontálně členěny jednotlivými profilov</w:t>
      </w:r>
      <w:r w:rsidR="00C265AF">
        <w:rPr>
          <w:sz w:val="24"/>
          <w:szCs w:val="24"/>
        </w:rPr>
        <w:t>anými</w:t>
      </w:r>
      <w:r w:rsidR="00BC0EC3" w:rsidRPr="00C265AF">
        <w:rPr>
          <w:sz w:val="24"/>
          <w:szCs w:val="24"/>
        </w:rPr>
        <w:t xml:space="preserve"> římsami, vystupujícími rizality předsazených </w:t>
      </w:r>
      <w:proofErr w:type="spellStart"/>
      <w:r w:rsidR="00BC0EC3" w:rsidRPr="00C265AF">
        <w:rPr>
          <w:sz w:val="24"/>
          <w:szCs w:val="24"/>
        </w:rPr>
        <w:t>průšelí</w:t>
      </w:r>
      <w:proofErr w:type="spellEnd"/>
      <w:r w:rsidR="00BC0EC3" w:rsidRPr="00C265AF">
        <w:rPr>
          <w:sz w:val="24"/>
          <w:szCs w:val="24"/>
        </w:rPr>
        <w:t>. Vertikálně jsou fasády členěny polosloupy vymezující okenní otvory. Na SV straně restaurace vystupují úzké zděné štíty lichoběžníkového tvaru s oválnými půdními okénky, a také další orámování, ovály, obdélníky, vlysy, šambrán</w:t>
      </w:r>
      <w:r w:rsidR="00C265AF">
        <w:rPr>
          <w:sz w:val="24"/>
          <w:szCs w:val="24"/>
        </w:rPr>
        <w:t>y</w:t>
      </w:r>
      <w:r w:rsidR="00BC0EC3" w:rsidRPr="00C265AF">
        <w:rPr>
          <w:sz w:val="24"/>
          <w:szCs w:val="24"/>
        </w:rPr>
        <w:t xml:space="preserve"> a o</w:t>
      </w:r>
      <w:r w:rsidR="00C265AF">
        <w:rPr>
          <w:sz w:val="24"/>
          <w:szCs w:val="24"/>
        </w:rPr>
        <w:t>rnamenty</w:t>
      </w:r>
      <w:r w:rsidR="00BC0EC3" w:rsidRPr="00C265AF">
        <w:rPr>
          <w:sz w:val="24"/>
          <w:szCs w:val="24"/>
        </w:rPr>
        <w:t>.</w:t>
      </w:r>
    </w:p>
    <w:p w14:paraId="0AE400C5" w14:textId="1C315B3E" w:rsidR="00BC0EC3" w:rsidRPr="00C265AF" w:rsidRDefault="00BC0EC3" w:rsidP="00C96D32">
      <w:pPr>
        <w:rPr>
          <w:sz w:val="24"/>
          <w:szCs w:val="24"/>
        </w:rPr>
      </w:pPr>
      <w:r w:rsidRPr="00C265AF">
        <w:rPr>
          <w:sz w:val="24"/>
          <w:szCs w:val="24"/>
        </w:rPr>
        <w:t>Okna jsou řešená atypicky, zejména ty oválná a polokruhová ve velkém sálu. Převážně jsou dvojitá (kastlová) otevíravá, dřevěná, hnědá, bíl</w:t>
      </w:r>
      <w:r w:rsidR="00C265AF">
        <w:rPr>
          <w:sz w:val="24"/>
          <w:szCs w:val="24"/>
        </w:rPr>
        <w:t>á</w:t>
      </w:r>
      <w:r w:rsidRPr="00C265AF">
        <w:rPr>
          <w:sz w:val="24"/>
          <w:szCs w:val="24"/>
        </w:rPr>
        <w:t>.</w:t>
      </w:r>
    </w:p>
    <w:p w14:paraId="2666F432" w14:textId="1F3CD978" w:rsidR="00BC0EC3" w:rsidRPr="00C265AF" w:rsidRDefault="00BC0EC3" w:rsidP="00C96D32">
      <w:pPr>
        <w:rPr>
          <w:sz w:val="24"/>
          <w:szCs w:val="24"/>
        </w:rPr>
      </w:pPr>
      <w:r w:rsidRPr="00C265AF">
        <w:rPr>
          <w:sz w:val="24"/>
          <w:szCs w:val="24"/>
        </w:rPr>
        <w:t xml:space="preserve">Interiéry všech místností 1. a 2. NP jsou plochostropé pouze v 1. PP – suterénu a </w:t>
      </w:r>
      <w:proofErr w:type="spellStart"/>
      <w:r w:rsidRPr="00C265AF">
        <w:rPr>
          <w:sz w:val="24"/>
          <w:szCs w:val="24"/>
        </w:rPr>
        <w:t>samost</w:t>
      </w:r>
      <w:proofErr w:type="spellEnd"/>
      <w:r w:rsidRPr="00C265AF">
        <w:rPr>
          <w:sz w:val="24"/>
          <w:szCs w:val="24"/>
        </w:rPr>
        <w:t>. dílenské haly na jižní straně areálu završují prostorové klenby segmentového traverzu. Na střechách je položena pálená keramický taška-bobrovka, hřebeny střech jsou kryty prejzy. Fasády jsou pojednány v kombinaci několika odstínů barev, kromě bílé také béžové, okrově žluté apod. Komíny jsou</w:t>
      </w:r>
      <w:r w:rsidR="00681952" w:rsidRPr="00C265AF">
        <w:rPr>
          <w:sz w:val="24"/>
          <w:szCs w:val="24"/>
        </w:rPr>
        <w:t xml:space="preserve"> </w:t>
      </w:r>
      <w:r w:rsidR="00C265AF">
        <w:rPr>
          <w:sz w:val="24"/>
          <w:szCs w:val="24"/>
        </w:rPr>
        <w:t>hladce</w:t>
      </w:r>
      <w:r w:rsidR="00681952" w:rsidRPr="00C265AF">
        <w:rPr>
          <w:sz w:val="24"/>
          <w:szCs w:val="24"/>
        </w:rPr>
        <w:t xml:space="preserve"> omítané. Vnitřní omítky jsou hladké, vápenné, štukové převážně bílé, také šedé, béžové apod. Podlahy jsou z litého terac</w:t>
      </w:r>
      <w:r w:rsidR="00C265AF">
        <w:rPr>
          <w:sz w:val="24"/>
          <w:szCs w:val="24"/>
        </w:rPr>
        <w:t>a</w:t>
      </w:r>
      <w:r w:rsidR="00681952" w:rsidRPr="00C265AF">
        <w:rPr>
          <w:sz w:val="24"/>
          <w:szCs w:val="24"/>
        </w:rPr>
        <w:t>, dřev. vlysové, kamenné (mramorové), betonové, s povrchovou úpravou z PVC a keramické.</w:t>
      </w:r>
    </w:p>
    <w:p w14:paraId="45F8CA35" w14:textId="7D175538" w:rsidR="00681952" w:rsidRPr="00C265AF" w:rsidRDefault="00681952" w:rsidP="00C96D32">
      <w:pPr>
        <w:rPr>
          <w:sz w:val="24"/>
          <w:szCs w:val="24"/>
        </w:rPr>
      </w:pPr>
      <w:r w:rsidRPr="00C265AF">
        <w:rPr>
          <w:sz w:val="24"/>
          <w:szCs w:val="24"/>
        </w:rPr>
        <w:t>Obvodové zdi a vnitřní dělící stěny a příčky jsou klasicky vyzděné z plných cihel, základové desky, včetně podlahy suterénu a schodiště betonové. Vnitřní dveře jsou dřevěné, je</w:t>
      </w:r>
      <w:r w:rsidR="00C265AF">
        <w:rPr>
          <w:sz w:val="24"/>
          <w:szCs w:val="24"/>
        </w:rPr>
        <w:t>dno</w:t>
      </w:r>
      <w:r w:rsidRPr="00C265AF">
        <w:rPr>
          <w:sz w:val="24"/>
          <w:szCs w:val="24"/>
        </w:rPr>
        <w:t xml:space="preserve"> a dvoukřídlové, otevíravé, osazené do dřevěné a ocel. zárubně, atypické a typizované.</w:t>
      </w:r>
    </w:p>
    <w:p w14:paraId="06A50B15" w14:textId="609306BB" w:rsidR="00681952" w:rsidRPr="00C265AF" w:rsidRDefault="00681952" w:rsidP="00C96D32">
      <w:pPr>
        <w:rPr>
          <w:sz w:val="24"/>
          <w:szCs w:val="24"/>
        </w:rPr>
      </w:pPr>
      <w:r w:rsidRPr="00C265AF">
        <w:rPr>
          <w:sz w:val="24"/>
          <w:szCs w:val="24"/>
        </w:rPr>
        <w:t>Pozn.: Typy stropních konstrukcí bude možné zjistit až na základě provedených lokálních sond</w:t>
      </w:r>
    </w:p>
    <w:p w14:paraId="65D555C0" w14:textId="77777777" w:rsidR="00681952" w:rsidRPr="00C265AF" w:rsidRDefault="00681952" w:rsidP="00C96D32">
      <w:pPr>
        <w:rPr>
          <w:sz w:val="24"/>
          <w:szCs w:val="24"/>
          <w:u w:val="single"/>
        </w:rPr>
      </w:pPr>
    </w:p>
    <w:p w14:paraId="0A27C3F9" w14:textId="3A3A613C" w:rsidR="00681952" w:rsidRPr="00C265AF" w:rsidRDefault="00681952" w:rsidP="00681952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C265AF">
        <w:rPr>
          <w:b/>
          <w:bCs/>
          <w:sz w:val="24"/>
          <w:szCs w:val="24"/>
          <w:u w:val="single"/>
        </w:rPr>
        <w:t xml:space="preserve">Zhodnocení stávajícího stavebně technického stavu </w:t>
      </w:r>
    </w:p>
    <w:p w14:paraId="5D74E549" w14:textId="23980194" w:rsidR="00681952" w:rsidRDefault="00681952" w:rsidP="00681952">
      <w:pPr>
        <w:rPr>
          <w:sz w:val="24"/>
          <w:szCs w:val="24"/>
        </w:rPr>
      </w:pPr>
      <w:r w:rsidRPr="00C265AF">
        <w:rPr>
          <w:sz w:val="24"/>
          <w:szCs w:val="24"/>
        </w:rPr>
        <w:t>Stavebně technický stav budovy je ve vyhovujícím dobrém stavu. Nevykazuje žádné viditelné známky konstrukčně statického narušení nebo poškození.</w:t>
      </w:r>
    </w:p>
    <w:p w14:paraId="6195CC50" w14:textId="77777777" w:rsidR="00C265AF" w:rsidRPr="00C265AF" w:rsidRDefault="00C265AF" w:rsidP="00681952">
      <w:pPr>
        <w:rPr>
          <w:b/>
          <w:bCs/>
          <w:sz w:val="24"/>
          <w:szCs w:val="24"/>
        </w:rPr>
      </w:pPr>
    </w:p>
    <w:p w14:paraId="0E492D0C" w14:textId="59510119" w:rsidR="00C265AF" w:rsidRPr="00C265AF" w:rsidRDefault="00C265AF" w:rsidP="00C265AF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 w:rsidRPr="00C265AF">
        <w:rPr>
          <w:b/>
          <w:bCs/>
          <w:sz w:val="24"/>
          <w:szCs w:val="24"/>
        </w:rPr>
        <w:t>Napojení na dopravní a technickou infrastrukturu, ochranná a bezpečnostní pásma</w:t>
      </w:r>
    </w:p>
    <w:p w14:paraId="183A4113" w14:textId="77777777" w:rsidR="00C265AF" w:rsidRDefault="00C265AF" w:rsidP="00C265AF">
      <w:pPr>
        <w:rPr>
          <w:sz w:val="24"/>
          <w:szCs w:val="24"/>
        </w:rPr>
      </w:pPr>
    </w:p>
    <w:p w14:paraId="7193DEE8" w14:textId="4B1883E8" w:rsidR="00C265AF" w:rsidRDefault="00C265AF" w:rsidP="00C265AF">
      <w:pPr>
        <w:rPr>
          <w:sz w:val="24"/>
          <w:szCs w:val="24"/>
        </w:rPr>
      </w:pPr>
      <w:r>
        <w:rPr>
          <w:sz w:val="24"/>
          <w:szCs w:val="24"/>
        </w:rPr>
        <w:t>Původní – beze změny</w:t>
      </w:r>
    </w:p>
    <w:p w14:paraId="02A2B8A8" w14:textId="77777777" w:rsidR="00C265AF" w:rsidRDefault="00C265AF" w:rsidP="00C265AF">
      <w:pPr>
        <w:rPr>
          <w:sz w:val="24"/>
          <w:szCs w:val="24"/>
        </w:rPr>
      </w:pPr>
    </w:p>
    <w:p w14:paraId="32EFCE37" w14:textId="5FC95D98" w:rsidR="00C265AF" w:rsidRDefault="00C265AF" w:rsidP="00C265AF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 w:rsidRPr="00C265AF">
        <w:rPr>
          <w:b/>
          <w:bCs/>
          <w:sz w:val="24"/>
          <w:szCs w:val="24"/>
        </w:rPr>
        <w:t>Vliv stavby na životní prostředí a ochranu zvláštních zájmů</w:t>
      </w:r>
    </w:p>
    <w:p w14:paraId="0D59C646" w14:textId="77777777" w:rsidR="00C265AF" w:rsidRDefault="00C265AF" w:rsidP="00C265AF">
      <w:pPr>
        <w:rPr>
          <w:b/>
          <w:bCs/>
          <w:sz w:val="24"/>
          <w:szCs w:val="24"/>
        </w:rPr>
      </w:pPr>
    </w:p>
    <w:p w14:paraId="79BD7DD2" w14:textId="5F60E7AE" w:rsidR="00C265AF" w:rsidRPr="00CA65AA" w:rsidRDefault="00C265AF" w:rsidP="00C265AF">
      <w:pPr>
        <w:rPr>
          <w:sz w:val="24"/>
          <w:szCs w:val="24"/>
        </w:rPr>
      </w:pPr>
      <w:r w:rsidRPr="00CA65AA">
        <w:rPr>
          <w:sz w:val="24"/>
          <w:szCs w:val="24"/>
        </w:rPr>
        <w:t>Bez jakéhokoliv vlivu na Ž</w:t>
      </w:r>
      <w:r w:rsidR="00CA65AA" w:rsidRPr="00CA65AA">
        <w:rPr>
          <w:sz w:val="24"/>
          <w:szCs w:val="24"/>
        </w:rPr>
        <w:t>P a nutnost ochrany zvláštních zájmů</w:t>
      </w:r>
    </w:p>
    <w:sectPr w:rsidR="00C265AF" w:rsidRPr="00CA65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85436"/>
    <w:multiLevelType w:val="hybridMultilevel"/>
    <w:tmpl w:val="B30430C6"/>
    <w:lvl w:ilvl="0" w:tplc="006A63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E4723"/>
    <w:multiLevelType w:val="hybridMultilevel"/>
    <w:tmpl w:val="C644B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407107">
    <w:abstractNumId w:val="1"/>
  </w:num>
  <w:num w:numId="2" w16cid:durableId="2007434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FDD"/>
    <w:rsid w:val="00496304"/>
    <w:rsid w:val="004B605D"/>
    <w:rsid w:val="00527FAA"/>
    <w:rsid w:val="00681952"/>
    <w:rsid w:val="006A4826"/>
    <w:rsid w:val="00713821"/>
    <w:rsid w:val="00720A78"/>
    <w:rsid w:val="00A83FDD"/>
    <w:rsid w:val="00AA62A3"/>
    <w:rsid w:val="00BC0EC3"/>
    <w:rsid w:val="00C265AF"/>
    <w:rsid w:val="00C96D32"/>
    <w:rsid w:val="00CA65AA"/>
    <w:rsid w:val="00E325CC"/>
    <w:rsid w:val="00F4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68237"/>
  <w15:chartTrackingRefBased/>
  <w15:docId w15:val="{D045C9AA-28B9-4E74-B5EA-6983C5DB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83F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83F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3F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3F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3F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3F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3F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3F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3F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3F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83F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3F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3FD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3FD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3FD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3FD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3FD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3FD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83F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83F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83FD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83F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83F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83FD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83FD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83FD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83F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83FD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83F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8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Skalíková</dc:creator>
  <cp:keywords/>
  <dc:description/>
  <cp:lastModifiedBy>Julie Skalíková</cp:lastModifiedBy>
  <cp:revision>2</cp:revision>
  <dcterms:created xsi:type="dcterms:W3CDTF">2024-09-09T20:37:00Z</dcterms:created>
  <dcterms:modified xsi:type="dcterms:W3CDTF">2024-09-09T20:37:00Z</dcterms:modified>
</cp:coreProperties>
</file>